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E3068E" w:rsidRPr="003C7004">
        <w:rPr>
          <w:sz w:val="28"/>
          <w:szCs w:val="28"/>
        </w:rPr>
        <w:t>Füllverhalten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3068E" w:rsidTr="00E3068E">
        <w:tc>
          <w:tcPr>
            <w:tcW w:w="2466" w:type="dxa"/>
            <w:vAlign w:val="center"/>
          </w:tcPr>
          <w:p w:rsidR="00E3068E" w:rsidRPr="00DE6A25" w:rsidRDefault="00E3068E" w:rsidP="008A099B">
            <w:pPr>
              <w:pStyle w:val="IQB-Merkmal"/>
            </w:pPr>
            <w:r w:rsidRPr="00DE6A25">
              <w:t>Leitidee</w:t>
            </w:r>
          </w:p>
        </w:tc>
        <w:tc>
          <w:tcPr>
            <w:tcW w:w="6604" w:type="dxa"/>
          </w:tcPr>
          <w:p w:rsidR="00E3068E" w:rsidRPr="00DE6A25" w:rsidRDefault="00E3068E" w:rsidP="008A099B">
            <w:pPr>
              <w:pStyle w:val="IQB-Merkmalswert"/>
              <w:rPr>
                <w:sz w:val="22"/>
                <w:szCs w:val="22"/>
              </w:rPr>
            </w:pPr>
            <w:r w:rsidRPr="00DE6A25">
              <w:rPr>
                <w:sz w:val="22"/>
                <w:szCs w:val="22"/>
              </w:rPr>
              <w:t>Funktionaler Zusammenhang (L4)</w:t>
            </w:r>
          </w:p>
        </w:tc>
      </w:tr>
      <w:tr w:rsidR="00E3068E" w:rsidTr="00E3068E">
        <w:tc>
          <w:tcPr>
            <w:tcW w:w="2466" w:type="dxa"/>
            <w:vAlign w:val="center"/>
          </w:tcPr>
          <w:p w:rsidR="00E3068E" w:rsidRPr="00DE6A25" w:rsidRDefault="00E3068E" w:rsidP="008A099B">
            <w:pPr>
              <w:pStyle w:val="IQB-Merkmal"/>
            </w:pPr>
            <w:r w:rsidRPr="00DE6A25">
              <w:t>Allgemeine Kompetenzen</w:t>
            </w:r>
          </w:p>
        </w:tc>
        <w:tc>
          <w:tcPr>
            <w:tcW w:w="6604" w:type="dxa"/>
          </w:tcPr>
          <w:p w:rsidR="00E3068E" w:rsidRDefault="00E3068E" w:rsidP="008A099B">
            <w:pPr>
              <w:pStyle w:val="IQB-Merkmalswert"/>
              <w:rPr>
                <w:sz w:val="22"/>
                <w:szCs w:val="22"/>
              </w:rPr>
            </w:pPr>
            <w:r>
              <w:rPr>
                <w:sz w:val="22"/>
                <w:szCs w:val="22"/>
              </w:rPr>
              <w:t>Mathematisch modellieren (K3)</w:t>
            </w:r>
          </w:p>
          <w:p w:rsidR="00E3068E" w:rsidRPr="00DE6A25" w:rsidRDefault="00E3068E" w:rsidP="008A099B">
            <w:pPr>
              <w:pStyle w:val="IQB-Merkmalswert"/>
              <w:rPr>
                <w:sz w:val="22"/>
                <w:szCs w:val="22"/>
              </w:rPr>
            </w:pPr>
            <w:r w:rsidRPr="00DE6A25">
              <w:rPr>
                <w:sz w:val="22"/>
                <w:szCs w:val="22"/>
              </w:rPr>
              <w:t>Mathematische Darstellungen verwenden (K4)</w:t>
            </w:r>
          </w:p>
        </w:tc>
      </w:tr>
      <w:tr w:rsidR="00E3068E" w:rsidTr="00E3068E">
        <w:tc>
          <w:tcPr>
            <w:tcW w:w="2466" w:type="dxa"/>
            <w:vAlign w:val="center"/>
          </w:tcPr>
          <w:p w:rsidR="00E3068E" w:rsidRPr="00DE6A25" w:rsidRDefault="00E3068E" w:rsidP="008A099B">
            <w:pPr>
              <w:pStyle w:val="IQB-Merkmal"/>
            </w:pPr>
            <w:r w:rsidRPr="00DE6A25">
              <w:t>Anforderungsbereich</w:t>
            </w:r>
          </w:p>
        </w:tc>
        <w:tc>
          <w:tcPr>
            <w:tcW w:w="6604" w:type="dxa"/>
          </w:tcPr>
          <w:p w:rsidR="00E3068E" w:rsidRPr="00DE6A25" w:rsidRDefault="00E3068E" w:rsidP="008A099B">
            <w:pPr>
              <w:pStyle w:val="IQB-Merkmalswert"/>
              <w:rPr>
                <w:sz w:val="22"/>
                <w:szCs w:val="22"/>
              </w:rPr>
            </w:pPr>
            <w:r w:rsidRPr="00DE6A25">
              <w:rPr>
                <w:sz w:val="22"/>
                <w:szCs w:val="22"/>
              </w:rPr>
              <w:t>II</w:t>
            </w:r>
          </w:p>
        </w:tc>
      </w:tr>
      <w:tr w:rsidR="00E3068E" w:rsidTr="00E3068E">
        <w:tc>
          <w:tcPr>
            <w:tcW w:w="2466" w:type="dxa"/>
            <w:vAlign w:val="center"/>
          </w:tcPr>
          <w:p w:rsidR="00E3068E" w:rsidRPr="00DE6A25" w:rsidRDefault="00E3068E" w:rsidP="008A099B">
            <w:pPr>
              <w:pStyle w:val="IQB-Merkmal"/>
            </w:pPr>
            <w:r w:rsidRPr="00DE6A25">
              <w:t>Kompetenzstufe</w:t>
            </w:r>
          </w:p>
        </w:tc>
        <w:tc>
          <w:tcPr>
            <w:tcW w:w="6604" w:type="dxa"/>
          </w:tcPr>
          <w:p w:rsidR="00E3068E" w:rsidRPr="00DE6A25" w:rsidRDefault="00E3068E" w:rsidP="008A099B">
            <w:pPr>
              <w:pStyle w:val="IQB-Merkmalswert"/>
              <w:rPr>
                <w:sz w:val="22"/>
                <w:szCs w:val="22"/>
              </w:rPr>
            </w:pPr>
            <w:r w:rsidRPr="00DE6A25">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E3068E" w:rsidTr="00E3068E">
        <w:tc>
          <w:tcPr>
            <w:tcW w:w="2466" w:type="dxa"/>
            <w:vAlign w:val="center"/>
          </w:tcPr>
          <w:p w:rsidR="00E3068E" w:rsidRPr="00DE6A25" w:rsidRDefault="00E3068E" w:rsidP="008A099B">
            <w:pPr>
              <w:pStyle w:val="IQB-Merkmal"/>
            </w:pPr>
            <w:r w:rsidRPr="00DE6A25">
              <w:t>Leitidee</w:t>
            </w:r>
          </w:p>
        </w:tc>
        <w:tc>
          <w:tcPr>
            <w:tcW w:w="6604" w:type="dxa"/>
          </w:tcPr>
          <w:p w:rsidR="00E3068E" w:rsidRPr="00DE6A25" w:rsidRDefault="00E3068E" w:rsidP="008A099B">
            <w:pPr>
              <w:pStyle w:val="IQB-Merkmalswert"/>
              <w:rPr>
                <w:sz w:val="22"/>
                <w:szCs w:val="22"/>
              </w:rPr>
            </w:pPr>
            <w:r w:rsidRPr="00DE6A25">
              <w:rPr>
                <w:sz w:val="22"/>
                <w:szCs w:val="22"/>
              </w:rPr>
              <w:t>Funktionaler Zusammenhang (L4)</w:t>
            </w:r>
          </w:p>
        </w:tc>
      </w:tr>
      <w:tr w:rsidR="00E3068E" w:rsidTr="00E3068E">
        <w:tc>
          <w:tcPr>
            <w:tcW w:w="2466" w:type="dxa"/>
            <w:vAlign w:val="center"/>
          </w:tcPr>
          <w:p w:rsidR="00E3068E" w:rsidRPr="00DE6A25" w:rsidRDefault="00E3068E" w:rsidP="008A099B">
            <w:pPr>
              <w:pStyle w:val="IQB-Merkmal"/>
            </w:pPr>
            <w:r w:rsidRPr="00DE6A25">
              <w:t>Allgemeine Kompetenzen</w:t>
            </w:r>
          </w:p>
        </w:tc>
        <w:tc>
          <w:tcPr>
            <w:tcW w:w="6604" w:type="dxa"/>
          </w:tcPr>
          <w:p w:rsidR="00E3068E" w:rsidRDefault="00E3068E" w:rsidP="008A099B">
            <w:pPr>
              <w:pStyle w:val="IQB-Merkmalswert"/>
              <w:rPr>
                <w:sz w:val="22"/>
                <w:szCs w:val="22"/>
              </w:rPr>
            </w:pPr>
            <w:r>
              <w:rPr>
                <w:sz w:val="22"/>
                <w:szCs w:val="22"/>
              </w:rPr>
              <w:t>Mathematisch modellieren (K3)</w:t>
            </w:r>
          </w:p>
          <w:p w:rsidR="00E3068E" w:rsidRPr="00DE6A25" w:rsidRDefault="00E3068E" w:rsidP="008A099B">
            <w:pPr>
              <w:pStyle w:val="IQB-Merkmalswert"/>
              <w:rPr>
                <w:sz w:val="22"/>
                <w:szCs w:val="22"/>
              </w:rPr>
            </w:pPr>
            <w:r w:rsidRPr="00DE6A25">
              <w:rPr>
                <w:sz w:val="22"/>
                <w:szCs w:val="22"/>
              </w:rPr>
              <w:t>Mathematische Darstellungen verwenden (K4)</w:t>
            </w:r>
          </w:p>
        </w:tc>
      </w:tr>
      <w:tr w:rsidR="00E3068E" w:rsidTr="00E3068E">
        <w:tc>
          <w:tcPr>
            <w:tcW w:w="2466" w:type="dxa"/>
            <w:vAlign w:val="center"/>
          </w:tcPr>
          <w:p w:rsidR="00E3068E" w:rsidRPr="00DE6A25" w:rsidRDefault="00E3068E" w:rsidP="008A099B">
            <w:pPr>
              <w:pStyle w:val="IQB-Merkmal"/>
            </w:pPr>
            <w:r w:rsidRPr="00DE6A25">
              <w:t>Anforderungsbereich</w:t>
            </w:r>
          </w:p>
        </w:tc>
        <w:tc>
          <w:tcPr>
            <w:tcW w:w="6604" w:type="dxa"/>
          </w:tcPr>
          <w:p w:rsidR="00E3068E" w:rsidRPr="00DE6A25" w:rsidRDefault="00E3068E" w:rsidP="008A099B">
            <w:pPr>
              <w:pStyle w:val="IQB-Merkmalswert"/>
              <w:rPr>
                <w:sz w:val="22"/>
                <w:szCs w:val="22"/>
              </w:rPr>
            </w:pPr>
            <w:r w:rsidRPr="00DE6A25">
              <w:rPr>
                <w:sz w:val="22"/>
                <w:szCs w:val="22"/>
              </w:rPr>
              <w:t>III</w:t>
            </w:r>
          </w:p>
        </w:tc>
      </w:tr>
      <w:tr w:rsidR="00E3068E" w:rsidTr="00E3068E">
        <w:tc>
          <w:tcPr>
            <w:tcW w:w="2466" w:type="dxa"/>
            <w:vAlign w:val="center"/>
          </w:tcPr>
          <w:p w:rsidR="00E3068E" w:rsidRPr="00DE6A25" w:rsidRDefault="00E3068E" w:rsidP="008A099B">
            <w:pPr>
              <w:pStyle w:val="IQB-Merkmal"/>
            </w:pPr>
            <w:r w:rsidRPr="00DE6A25">
              <w:t>Kompetenzstufe</w:t>
            </w:r>
          </w:p>
        </w:tc>
        <w:tc>
          <w:tcPr>
            <w:tcW w:w="6604" w:type="dxa"/>
          </w:tcPr>
          <w:p w:rsidR="00E3068E" w:rsidRPr="00DE6A25" w:rsidRDefault="00E3068E" w:rsidP="008A099B">
            <w:pPr>
              <w:pStyle w:val="IQB-Merkmalswert"/>
              <w:rPr>
                <w:sz w:val="22"/>
                <w:szCs w:val="22"/>
              </w:rPr>
            </w:pPr>
            <w:r w:rsidRPr="00DE6A25">
              <w:rPr>
                <w:sz w:val="22"/>
                <w:szCs w:val="22"/>
              </w:rPr>
              <w:t>4</w:t>
            </w:r>
          </w:p>
        </w:tc>
      </w:tr>
    </w:tbl>
    <w:p w:rsidR="00694A63" w:rsidRPr="00694A63" w:rsidRDefault="00694A63" w:rsidP="00694A63">
      <w:pPr>
        <w:pStyle w:val="IQB-Teilaufgabentitel"/>
        <w:rPr>
          <w:b/>
        </w:rPr>
      </w:pPr>
      <w:r w:rsidRPr="00694A63">
        <w:rPr>
          <w:b/>
        </w:rPr>
        <w:t>Aufgabenbezogener Kommentar</w:t>
      </w:r>
    </w:p>
    <w:p w:rsidR="00E3068E" w:rsidRPr="00E3068E" w:rsidRDefault="00E3068E" w:rsidP="00E3068E">
      <w:pPr>
        <w:jc w:val="both"/>
        <w:rPr>
          <w:rFonts w:ascii="Arial" w:hAnsi="Arial"/>
          <w:sz w:val="22"/>
          <w:szCs w:val="22"/>
        </w:rPr>
      </w:pPr>
      <w:r w:rsidRPr="00E3068E">
        <w:rPr>
          <w:rFonts w:ascii="Arial" w:hAnsi="Arial"/>
          <w:sz w:val="22"/>
          <w:szCs w:val="22"/>
        </w:rPr>
        <w:t xml:space="preserve">In beiden Teilaufgaben wird ein Füllvorgang als funktionaler Zusammenhang interpretiert und einem Funktionsgraphen (durch Zeichnen bzw. Ankreuzen) zugeordnet. Daher ist die Aufgabe „Füllverhalten“ der Leitidee </w:t>
      </w:r>
      <w:r w:rsidRPr="00E3068E">
        <w:rPr>
          <w:rFonts w:ascii="Arial" w:hAnsi="Arial"/>
          <w:i/>
          <w:sz w:val="22"/>
          <w:szCs w:val="22"/>
        </w:rPr>
        <w:t>Funktionaler Zusammenhang</w:t>
      </w:r>
      <w:r w:rsidRPr="00E3068E">
        <w:rPr>
          <w:rFonts w:ascii="Arial" w:hAnsi="Arial"/>
          <w:sz w:val="22"/>
          <w:szCs w:val="22"/>
        </w:rPr>
        <w:t> (L4) zugeschrieben.</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 xml:space="preserve">In Teilaufgabe 1 sind Schülerinnen und Schüler aufgefordert einen Graphen in ein vorgegebenes Koordinatensystem zu zeichnen, in Teilaufgabe 2 muss aus den vorgegebenen Graphen der zum Füllvorgang passende ausgewählt werden, d. h. in beiden Teilaufgaben wird die Kompetenz </w:t>
      </w:r>
      <w:r w:rsidRPr="00E3068E">
        <w:rPr>
          <w:rFonts w:ascii="Arial" w:hAnsi="Arial"/>
          <w:i/>
          <w:sz w:val="22"/>
          <w:szCs w:val="22"/>
        </w:rPr>
        <w:t>Mathematische Darstellungen verwenden</w:t>
      </w:r>
      <w:r w:rsidRPr="00E3068E">
        <w:rPr>
          <w:rFonts w:ascii="Arial" w:hAnsi="Arial"/>
          <w:sz w:val="22"/>
          <w:szCs w:val="22"/>
        </w:rPr>
        <w:t xml:space="preserve"> (K4) vorausgesetzt. Der Füllvorgang aus der Realität muss in beiden Teilaufgaben in ein mathematisches Modell übertragen werden. Somit setzt die Aufgabe insgesamt auch die Kompetenz </w:t>
      </w:r>
      <w:r w:rsidRPr="00E3068E">
        <w:rPr>
          <w:rFonts w:ascii="Arial" w:hAnsi="Arial"/>
          <w:i/>
          <w:sz w:val="22"/>
          <w:szCs w:val="22"/>
        </w:rPr>
        <w:t>Mathematisch modellieren</w:t>
      </w:r>
      <w:r w:rsidRPr="00E3068E">
        <w:rPr>
          <w:rFonts w:ascii="Arial" w:hAnsi="Arial"/>
          <w:sz w:val="22"/>
          <w:szCs w:val="22"/>
        </w:rPr>
        <w:t xml:space="preserve"> (K3) voraus. </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In Teilaufgabe 1 muss der gleichmäßige Füllvorgang einem geeigneten mathematischen Modell (linearer funktionaler Zusammenhang) zugeordnet werden, um dann den Graphen zeichnen zu können. Des Weiteren müssen Anfang und Ende des Füllvorgangs berücksichtigt werden. Der Wechsel von Aufgabentext und Foto zum Graphen im Koordinatensystem ist demnach mehrschrittig. Daher wird Teilaufgabe1 dem Anforderungsbereich II zugeordnet. In Teilaufgabe 2 kommt hinzu, dass Schülerinnen und Schüler nicht mehr auf mathematische Modelle zurückgreifen können, die sie aus dem Unterricht zu funktionalen Zusammenhängen her kennen. Es müssen hier unvertraute Darstellungen verstanden und im Sinne des Kontextes interpretiert werden. Daher verlangt Teilaufgabe 2 Kompetenzen aus dem Anforderungsbereich III.</w:t>
      </w:r>
    </w:p>
    <w:p w:rsidR="00E3068E" w:rsidRDefault="00E3068E" w:rsidP="00694A63">
      <w:pPr>
        <w:pStyle w:val="IQB-Teilaufgabentitel"/>
        <w:rPr>
          <w:b/>
        </w:rPr>
        <w:sectPr w:rsidR="00E3068E" w:rsidSect="00DB65DC">
          <w:headerReference w:type="first" r:id="rId8"/>
          <w:pgSz w:w="11906" w:h="16838"/>
          <w:pgMar w:top="1134" w:right="1134" w:bottom="1134" w:left="1134" w:header="624" w:footer="709" w:gutter="0"/>
          <w:cols w:space="708"/>
          <w:titlePg/>
          <w:docGrid w:linePitch="360"/>
        </w:sectPr>
      </w:pPr>
    </w:p>
    <w:p w:rsidR="00694A63" w:rsidRPr="00694A63" w:rsidRDefault="00694A63" w:rsidP="00694A63">
      <w:pPr>
        <w:pStyle w:val="IQB-Teilaufgabentitel"/>
        <w:rPr>
          <w:b/>
        </w:rPr>
      </w:pPr>
      <w:r w:rsidRPr="00694A63">
        <w:rPr>
          <w:b/>
        </w:rPr>
        <w:lastRenderedPageBreak/>
        <w:t>Anregunge</w:t>
      </w:r>
      <w:bookmarkStart w:id="0" w:name="_GoBack"/>
      <w:bookmarkEnd w:id="0"/>
      <w:r w:rsidRPr="00694A63">
        <w:rPr>
          <w:b/>
        </w:rPr>
        <w:t>n für den Unterricht</w:t>
      </w:r>
    </w:p>
    <w:p w:rsidR="00E3068E" w:rsidRPr="00E3068E" w:rsidRDefault="00E3068E" w:rsidP="00E3068E">
      <w:pPr>
        <w:jc w:val="both"/>
        <w:rPr>
          <w:rFonts w:ascii="Arial" w:hAnsi="Arial"/>
          <w:sz w:val="22"/>
          <w:szCs w:val="22"/>
        </w:rPr>
      </w:pPr>
      <w:r w:rsidRPr="00E3068E">
        <w:rPr>
          <w:rFonts w:ascii="Arial" w:hAnsi="Arial"/>
          <w:sz w:val="22"/>
          <w:szCs w:val="22"/>
        </w:rPr>
        <w:t>Die Aufgabe „Füllverhalten“ handelt im Wesentlichen von Darstellungen und Darstellungswechseln. Mathematische Funktionen eignen sich besonders gut, um verschiedene Darstellungsarten und den Wechsel zwischen Darstellungen im Unterricht zu thematisieren. Man denke hierbei an die bekannten Darstellungsarten zu funktionalen Zusammenhängen, d. h. Graphen, Tabellen, Terme und Texte. Zu Funktionen werden in der Regel drei Grundvorstellungen gezählt.</w:t>
      </w:r>
    </w:p>
    <w:p w:rsidR="00E3068E" w:rsidRPr="00E3068E" w:rsidRDefault="00E3068E" w:rsidP="00E3068E">
      <w:pPr>
        <w:jc w:val="both"/>
        <w:rPr>
          <w:rFonts w:ascii="Arial" w:hAnsi="Arial"/>
          <w:sz w:val="22"/>
          <w:szCs w:val="22"/>
        </w:rPr>
      </w:pPr>
    </w:p>
    <w:p w:rsidR="00E3068E" w:rsidRPr="00E3068E" w:rsidRDefault="00E3068E" w:rsidP="00E3068E">
      <w:pPr>
        <w:numPr>
          <w:ilvl w:val="0"/>
          <w:numId w:val="13"/>
        </w:numPr>
        <w:contextualSpacing/>
        <w:jc w:val="both"/>
        <w:rPr>
          <w:rFonts w:ascii="Arial" w:eastAsia="Calibri" w:hAnsi="Arial" w:cs="Arial"/>
          <w:sz w:val="22"/>
          <w:szCs w:val="22"/>
          <w:lang w:eastAsia="en-US"/>
        </w:rPr>
      </w:pPr>
      <w:r w:rsidRPr="00E3068E">
        <w:rPr>
          <w:rFonts w:ascii="Arial" w:eastAsia="Calibri" w:hAnsi="Arial" w:cs="Arial"/>
          <w:b/>
          <w:sz w:val="22"/>
          <w:szCs w:val="22"/>
          <w:lang w:eastAsia="en-US"/>
        </w:rPr>
        <w:t>Die Vorstellung der Zuordnung:</w:t>
      </w:r>
      <w:r w:rsidRPr="00E3068E">
        <w:rPr>
          <w:rFonts w:ascii="Arial" w:eastAsia="Calibri" w:hAnsi="Arial" w:cs="Arial"/>
          <w:sz w:val="22"/>
          <w:szCs w:val="22"/>
          <w:lang w:eastAsia="en-US"/>
        </w:rPr>
        <w:t xml:space="preserve"> Eine Größe wird einer anderen zugeordnet. In der Aufgabe „Füllverhalten“ wird beispielsweise jedem Zeitpunkt eine Füllhöhe im Messzylinder zugeordnet.</w:t>
      </w:r>
    </w:p>
    <w:p w:rsidR="00E3068E" w:rsidRPr="00E3068E" w:rsidRDefault="00E3068E" w:rsidP="00E3068E">
      <w:pPr>
        <w:numPr>
          <w:ilvl w:val="0"/>
          <w:numId w:val="13"/>
        </w:numPr>
        <w:contextualSpacing/>
        <w:jc w:val="both"/>
        <w:rPr>
          <w:rFonts w:ascii="Arial" w:eastAsia="Calibri" w:hAnsi="Arial" w:cs="Arial"/>
          <w:sz w:val="22"/>
          <w:szCs w:val="22"/>
          <w:lang w:eastAsia="en-US"/>
        </w:rPr>
      </w:pPr>
      <w:r w:rsidRPr="00E3068E">
        <w:rPr>
          <w:rFonts w:ascii="Arial" w:eastAsia="Calibri" w:hAnsi="Arial" w:cs="Arial"/>
          <w:b/>
          <w:sz w:val="22"/>
          <w:szCs w:val="22"/>
          <w:lang w:eastAsia="en-US"/>
        </w:rPr>
        <w:t>Die Vorstellung der Veränderung (Kovariation):</w:t>
      </w:r>
      <w:r w:rsidRPr="00E3068E">
        <w:rPr>
          <w:rFonts w:ascii="Arial" w:eastAsia="Calibri" w:hAnsi="Arial" w:cs="Arial"/>
          <w:sz w:val="22"/>
          <w:szCs w:val="22"/>
          <w:lang w:eastAsia="en-US"/>
        </w:rPr>
        <w:t xml:space="preserve"> Eine Größe verändert sich in Abhängigkeit der Veränderung einer weiteren Größe. Die Frage lautet demnach, wie sich zwei Größen miteinander verändern. Im Beispiel „Füllverhalten“ führt diese Vorstellung (auf streng monoton steigenden Abschnitten des Graphen) zur Aussage, „je mehr Zeit vergangen ist, desto höher ist der Füllstand“.</w:t>
      </w:r>
    </w:p>
    <w:p w:rsidR="00E3068E" w:rsidRPr="00E3068E" w:rsidRDefault="00E3068E" w:rsidP="00E3068E">
      <w:pPr>
        <w:numPr>
          <w:ilvl w:val="0"/>
          <w:numId w:val="13"/>
        </w:numPr>
        <w:contextualSpacing/>
        <w:jc w:val="both"/>
        <w:rPr>
          <w:rFonts w:ascii="Arial" w:eastAsia="Calibri" w:hAnsi="Arial" w:cs="Arial"/>
          <w:sz w:val="22"/>
          <w:szCs w:val="22"/>
          <w:lang w:eastAsia="en-US"/>
        </w:rPr>
      </w:pPr>
      <w:r w:rsidRPr="00E3068E">
        <w:rPr>
          <w:rFonts w:ascii="Arial" w:eastAsia="Calibri" w:hAnsi="Arial" w:cs="Arial"/>
          <w:b/>
          <w:sz w:val="22"/>
          <w:szCs w:val="22"/>
          <w:lang w:eastAsia="en-US"/>
        </w:rPr>
        <w:t>Die Vorstellung der Funktion als Objekt:</w:t>
      </w:r>
      <w:r w:rsidRPr="00E3068E">
        <w:rPr>
          <w:rFonts w:ascii="Arial" w:eastAsia="Calibri" w:hAnsi="Arial" w:cs="Arial"/>
          <w:sz w:val="22"/>
          <w:szCs w:val="22"/>
          <w:lang w:eastAsia="en-US"/>
        </w:rPr>
        <w:t xml:space="preserve"> Gemäß dieser Vorstellung wird ein Funktionsgraph als eigenständiges Objekt angesehen. Man kann dann z. B. über die Form des Graphen, markante Punkte usw. sprechen und im Sachzusammenhang interpretieren. Bezogen auf die Aufgabe „Füllverhalten“ kann man beispielsweise eine Waagerechte zur x-Achse dahingehend interpretieren, dass noch kein Wasser eingefüllt worden, bzw. der Füllvorgang bereits abgeschlossen ist.</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 xml:space="preserve">Setzt man die Grundvorstellungen und die einzelnen Darstellungsarten zu Funktionen in Beziehung, so lassen sich Tätigkeiten und Absichten, die im Umgang mit einer bestimmten Darstellungsart verfolgt werden, beschreiben. Die folgende Tabelle ist angelehnt an eine ähnliche Tabelle aus dem Heft „Eine Funktion – viele Gesichter. Darstellen und Darstellungen wechseln“ (Praxis des Mathematikunterrichts, Nr. 38/53 2011, S. 5), herausgegeben von Stephan </w:t>
      </w:r>
      <w:proofErr w:type="spellStart"/>
      <w:r w:rsidRPr="00E3068E">
        <w:rPr>
          <w:rFonts w:ascii="Arial" w:hAnsi="Arial"/>
          <w:sz w:val="22"/>
          <w:szCs w:val="22"/>
        </w:rPr>
        <w:t>Hußmann</w:t>
      </w:r>
      <w:proofErr w:type="spellEnd"/>
      <w:r w:rsidRPr="00E3068E">
        <w:rPr>
          <w:rFonts w:ascii="Arial" w:hAnsi="Arial"/>
          <w:sz w:val="22"/>
          <w:szCs w:val="22"/>
        </w:rPr>
        <w:t xml:space="preserve"> und Heinz </w:t>
      </w:r>
      <w:proofErr w:type="spellStart"/>
      <w:r w:rsidRPr="00E3068E">
        <w:rPr>
          <w:rFonts w:ascii="Arial" w:hAnsi="Arial"/>
          <w:sz w:val="22"/>
          <w:szCs w:val="22"/>
        </w:rPr>
        <w:t>Laakmann</w:t>
      </w:r>
      <w:proofErr w:type="spellEnd"/>
      <w:r w:rsidRPr="00E3068E">
        <w:rPr>
          <w:rFonts w:ascii="Arial" w:hAnsi="Arial"/>
          <w:sz w:val="22"/>
          <w:szCs w:val="22"/>
        </w:rPr>
        <w:t>. Dabei wurde zu jeder Grundvorstellung eine Zeile eingefügt, in der die Tätigkeiten auf die Aufgabe bzw. den Kontext „Füllverhalten“ bezogen werden. Die Tabelle soll damit als Anregung dienen, im Unterricht die Aufgabe „Füllverhalten“ (insbesondere Teilaufgabe 1) zu variieren und die Beziehungen zwischen den Grundvorstellungen und Darstellungsarten zu Funktionen zu thematisieren.</w:t>
      </w:r>
    </w:p>
    <w:p w:rsidR="00E3068E" w:rsidRPr="00E3068E" w:rsidRDefault="00E3068E" w:rsidP="00E3068E">
      <w:pPr>
        <w:jc w:val="both"/>
        <w:rPr>
          <w:rFonts w:ascii="Arial" w:hAnsi="Arial"/>
          <w:sz w:val="22"/>
          <w:szCs w:val="22"/>
        </w:rPr>
      </w:pPr>
      <w:r w:rsidRPr="00E3068E">
        <w:rPr>
          <w:rFonts w:ascii="Arial" w:hAnsi="Arial"/>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82"/>
        <w:gridCol w:w="2003"/>
        <w:gridCol w:w="1821"/>
        <w:gridCol w:w="2004"/>
        <w:gridCol w:w="2218"/>
      </w:tblGrid>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sz w:val="22"/>
                <w:szCs w:val="22"/>
              </w:rPr>
              <w:lastRenderedPageBreak/>
              <w:br w:type="page"/>
            </w:r>
            <w:r w:rsidRPr="00E3068E">
              <w:rPr>
                <w:rFonts w:ascii="Arial" w:hAnsi="Arial" w:cs="Arial"/>
                <w:sz w:val="20"/>
                <w:szCs w:val="20"/>
              </w:rPr>
              <w:t>Darstellungsart / Grundvorstellung</w:t>
            </w:r>
          </w:p>
        </w:tc>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Text</w:t>
            </w:r>
          </w:p>
        </w:tc>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Tabelle</w:t>
            </w:r>
          </w:p>
        </w:tc>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Graph</w:t>
            </w:r>
          </w:p>
        </w:tc>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Term</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Zuordnung</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Informationen zu Zuordnungen erfassen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Einen Wert in einer Spalte einem Wert in einer anderen Spalte zuordnen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Einen Wert auf einer Achse einem Wert auf einer anderen Achse zuordnen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Einen Wert aus dem Definitionsbereich durch Rechnung einem anderem anderen Wert aus dem Wertebereich zuordnen</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Zuordnung und „Füllverhalten“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Zeit wird einer Füllhöhe zugeordnet</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Ablesen, wie voll der Standzylinder nach einer bestimmten Zeit ist</w:t>
            </w:r>
          </w:p>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Ablesen nach wie viel Sekunden eine bestimmte Füllhöhe erreicht wird</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Ablesen, wie voll der Standzylinder nach einer bestimmten Zeit ist</w:t>
            </w:r>
          </w:p>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Ablesen nach wie viel Sekunden eine bestimmte Füllhöhe erreicht wird</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Berechnen, wie voll der Standzylinder nach einer bestimmten Zeit ist</w:t>
            </w:r>
          </w:p>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Bestimmen, nach wie viel Sekunden eine bestimmte Füllhöhe erreicht wird</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Veränderung (Kovariation)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Informationen zum Änderungsverhalten erfassen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Paarweise vergleichen, welche Art der Veränderung eintritt</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Abschnitte mit unterschiedlichem Änderungsverhalten beschreiben.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Ablesen oder bestimmen der entsprechenden Kenngrößen</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Veränderung und „Füllverhalten“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Füllhöhe verändert sich „gleichmäßig“</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Eigentlicher Füllvorgang vom Zeitverlauf vor und nach dem Füllvorgang abgrenzen</w:t>
            </w:r>
          </w:p>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Geschwindigkeit des Füllvorgangs bestimmen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Eigentlicher Füllvorgang vom Zeitverlauf vor und nach dem Füllvorgang abgrenzen</w:t>
            </w:r>
          </w:p>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Geschwindigkeit des Füllvorgangs bestimmen (Steigungsdreieck)</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Anstieg der Füllhöhe in Abhängigkeit von der Zeit am Steigungskoeffizienten abgelesen</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Objekt</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Informationen zum Gesamttypus der Funktion erfassen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Mit Eigenschaften der Wertepaare (z. B. Differenzen-, Quotienten- oder Produktgleichheit) die Funktion als Ganzes typisieren.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Mit Merkmalen des Graphen die Funktion als Ganzes typisieren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Mit Kenngrößen des Terms die Funktion als Ganzes typisieren.</w:t>
            </w:r>
          </w:p>
        </w:tc>
      </w:tr>
      <w:tr w:rsidR="00E3068E" w:rsidRPr="00E3068E" w:rsidTr="008A099B">
        <w:tc>
          <w:tcPr>
            <w:tcW w:w="0" w:type="auto"/>
            <w:shd w:val="clear" w:color="auto" w:fill="auto"/>
          </w:tcPr>
          <w:p w:rsidR="00E3068E" w:rsidRPr="00E3068E" w:rsidRDefault="00E3068E" w:rsidP="00E3068E">
            <w:pPr>
              <w:spacing w:before="60" w:after="60"/>
              <w:rPr>
                <w:rFonts w:ascii="Arial" w:hAnsi="Arial" w:cs="Arial"/>
                <w:sz w:val="20"/>
                <w:szCs w:val="20"/>
              </w:rPr>
            </w:pPr>
            <w:r w:rsidRPr="00E3068E">
              <w:rPr>
                <w:rFonts w:ascii="Arial" w:hAnsi="Arial" w:cs="Arial"/>
                <w:sz w:val="20"/>
                <w:szCs w:val="20"/>
              </w:rPr>
              <w:t>Objekt und „Füllverhalten“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 xml:space="preserve">Ein Standzylinder wird gefüllt </w:t>
            </w:r>
            <w:r w:rsidRPr="00E3068E">
              <w:rPr>
                <w:rFonts w:ascii="Arial" w:eastAsia="Calibri" w:hAnsi="Arial" w:cs="Arial"/>
                <w:sz w:val="20"/>
                <w:szCs w:val="20"/>
                <w:lang w:eastAsia="en-US"/>
              </w:rPr>
              <w:sym w:font="Wingdings" w:char="F0E0"/>
            </w:r>
            <w:r w:rsidRPr="00E3068E">
              <w:rPr>
                <w:rFonts w:ascii="Arial" w:eastAsia="Calibri" w:hAnsi="Arial" w:cs="Arial"/>
                <w:sz w:val="20"/>
                <w:szCs w:val="20"/>
                <w:lang w:eastAsia="en-US"/>
              </w:rPr>
              <w:t xml:space="preserve"> Graph ist eine Strecke bzw. abschnittsweise definiert</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Aus der Gleichheit der Quotienten von Wertepaaren auf den linearen bzw. proportionalen Verlauf des Füllvorgangs schließen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Linearen („gleichmäßigen“) Verlauf des Füllvorgangs anhand des Graphen ermitteln</w:t>
            </w:r>
          </w:p>
        </w:tc>
        <w:tc>
          <w:tcPr>
            <w:tcW w:w="0" w:type="auto"/>
            <w:shd w:val="clear" w:color="auto" w:fill="auto"/>
          </w:tcPr>
          <w:p w:rsidR="00E3068E" w:rsidRPr="00E3068E" w:rsidRDefault="00E3068E" w:rsidP="00E3068E">
            <w:pPr>
              <w:numPr>
                <w:ilvl w:val="0"/>
                <w:numId w:val="14"/>
              </w:numPr>
              <w:spacing w:before="60"/>
              <w:ind w:left="170" w:hanging="170"/>
              <w:contextualSpacing/>
              <w:rPr>
                <w:rFonts w:ascii="Arial" w:eastAsia="Calibri" w:hAnsi="Arial" w:cs="Arial"/>
                <w:sz w:val="20"/>
                <w:szCs w:val="20"/>
                <w:lang w:eastAsia="en-US"/>
              </w:rPr>
            </w:pPr>
            <w:r w:rsidRPr="00E3068E">
              <w:rPr>
                <w:rFonts w:ascii="Arial" w:eastAsia="Calibri" w:hAnsi="Arial" w:cs="Arial"/>
                <w:sz w:val="20"/>
                <w:szCs w:val="20"/>
                <w:lang w:eastAsia="en-US"/>
              </w:rPr>
              <w:t>Linearen („gleichmäßigen“) Verlauf des Füllvorgangs anhand des Funktionsterms ermitteln</w:t>
            </w:r>
          </w:p>
        </w:tc>
      </w:tr>
    </w:tbl>
    <w:p w:rsidR="00E3068E" w:rsidRPr="00E3068E" w:rsidRDefault="00E3068E" w:rsidP="00E3068E">
      <w:pPr>
        <w:rPr>
          <w:rFonts w:ascii="Arial" w:hAnsi="Arial"/>
          <w:i/>
          <w:sz w:val="20"/>
          <w:szCs w:val="20"/>
        </w:rPr>
      </w:pPr>
      <w:r w:rsidRPr="00E3068E">
        <w:rPr>
          <w:rFonts w:ascii="Arial" w:hAnsi="Arial"/>
          <w:i/>
          <w:sz w:val="20"/>
          <w:szCs w:val="20"/>
        </w:rPr>
        <w:t xml:space="preserve">Tabelle 1: Variationen zur Aufgabe „Füllverhalten“ </w:t>
      </w:r>
    </w:p>
    <w:p w:rsidR="00E3068E" w:rsidRPr="00E3068E" w:rsidRDefault="00E3068E" w:rsidP="00E3068E">
      <w:pPr>
        <w:rPr>
          <w:rFonts w:ascii="Arial" w:hAnsi="Arial"/>
          <w:i/>
          <w:sz w:val="20"/>
          <w:szCs w:val="20"/>
        </w:rPr>
      </w:pPr>
    </w:p>
    <w:p w:rsidR="00E3068E" w:rsidRPr="00E3068E" w:rsidRDefault="00E3068E" w:rsidP="00E3068E">
      <w:pPr>
        <w:jc w:val="both"/>
        <w:rPr>
          <w:rFonts w:ascii="Arial" w:hAnsi="Arial"/>
          <w:sz w:val="22"/>
          <w:szCs w:val="22"/>
        </w:rPr>
      </w:pPr>
      <w:r w:rsidRPr="00E3068E">
        <w:rPr>
          <w:rFonts w:ascii="Arial" w:hAnsi="Arial"/>
          <w:sz w:val="22"/>
          <w:szCs w:val="22"/>
        </w:rPr>
        <w:t xml:space="preserve">In der Aufgabe „Füllverhalten“ wird Schülerinnen und Schülern sowohl prozedurales Wissen als auch konzeptuelles Wissen abverlangt. Während konzeptuelles Wissen mathematische Inhalte wie </w:t>
      </w:r>
      <w:r w:rsidRPr="00E3068E">
        <w:rPr>
          <w:rFonts w:ascii="Arial" w:hAnsi="Arial"/>
          <w:sz w:val="22"/>
          <w:szCs w:val="22"/>
        </w:rPr>
        <w:lastRenderedPageBreak/>
        <w:t xml:space="preserve">Begriffe, Lehrsätze und die Zusammenhänge zwischen diesen umfasst, werden mit prozeduralem Wissen in der Regel die Fähigkeiten beschrieben mathematische (Routine-)verfahren auch automatisiert durchführen zu können. In der Aufgabe „Füllverhalten“ wird beispielsweise der Graph einer linearen Funktion eingezeichnet, ein Standardverfahren im Unterricht zu Funktionen und damit ein prozedurales Wissen. Dafür muss vorab entschieden werden, welche Art von Funktion den gleichmäßigen Füllvorgang am besten beschreibt und wo der Graph anfängt. Hier wird (implizit) konzeptuelles Wissen vorausgesetzt, ein Wissen über das Steigungsverhalten von Graphen und über Schnittpunkte mit den Achsen. </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Konzeptuelles Wissen wird meist in intensionales und extensionales unterteilt. Während die Intension eines Begriffs in der Mathematik in der Regel seine Definition meint, versteht man unter der Extension eines Begriffes die Verbindungen, die zu anderen Begriffen, Verfahren, Situationen usw. hergestellt werden können. Wenn in der Aufgabe „Füllverhalten“ der Beginn des Graphen festgelegt wird, so wird dabei eine Verbindung zwischen Achsenschnittpunkten und einem außermathematischen Kontext hergestellt. Man kann also sagen, dass Schülerinnen und Schüler dann über mehr extensionales Konzeptwissen verfügen, wenn sie mathematische Inhalte mit möglichst vielen bzw. exemplarischen außermathematischen Situationen in Verbindung bringen können. Es wäre jedoch verkürzt, die Extension eines mathematischen Begriffes, eines Lehrsatzes usw. auf die Verbindungen zu außermathematischen Situationen zu beschränken. Innermathematische Bezüge sind ebenso Teil der Extension eines mathematischen Begriffs. Man denke beispielsweise an die Verknüpfung zwischen dem Begriff der Nullstelle und dem Begriff des Schnittpunkts zwischen zwei Graphen. Durch eine einfache Äquivalenzumformung kann das Schnittpunktproblem auf die Bestimmung einer Nullstelle zurückgeführt werden. Ein solches innermathematisches Wissen gehört ebenso zur Extension des Begriffs der Nullstelle.</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 xml:space="preserve">Auch die Unterscheidung zwischen Intension und Extension ist kein starres Raster. Auch hier gibt es Zweifelsfälle, in denen es nicht leicht fällt zu entscheiden, was die Intension und was die Extension eines mathematischen Inhalts ist. Eine mögliche Intension eines mathematischen Begriffs wird den Schülerinnen und Schülern in der Regel durch die Definition vorgegeben, die die Lehrkraft aus didaktischer Sicht für geeignet hält. Wieder bezogen auf die Nullstelle, könnte entschieden werden, ob hier eher der geometrischen Definition der Vorrang gegeben werden soll (Nullstelle als Schnitt des Graphen mit der x-Achse) oder der algebraischen (Nullstelle als gesuchter </w:t>
      </w:r>
    </w:p>
    <w:p w:rsidR="00E3068E" w:rsidRPr="00E3068E" w:rsidRDefault="00E3068E" w:rsidP="00E3068E">
      <w:pPr>
        <w:jc w:val="both"/>
        <w:rPr>
          <w:rFonts w:ascii="Arial" w:hAnsi="Arial"/>
          <w:sz w:val="22"/>
          <w:szCs w:val="22"/>
        </w:rPr>
      </w:pPr>
      <w:r w:rsidRPr="00E3068E">
        <w:rPr>
          <w:rFonts w:ascii="Arial" w:hAnsi="Arial"/>
          <w:position w:val="-4"/>
          <w:sz w:val="22"/>
          <w:szCs w:val="22"/>
        </w:rPr>
        <w:object w:dxaOrig="20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0pt;height:10pt" o:ole="">
            <v:imagedata r:id="rId9" o:title=""/>
          </v:shape>
          <o:OLEObject Type="Embed" ProgID="Equation.DSMT4" ShapeID="_x0000_i1047" DrawAspect="Content" ObjectID="_1814854311" r:id="rId10"/>
        </w:object>
      </w:r>
      <w:r w:rsidRPr="00E3068E">
        <w:rPr>
          <w:rFonts w:ascii="Arial" w:hAnsi="Arial"/>
          <w:sz w:val="22"/>
          <w:szCs w:val="22"/>
        </w:rPr>
        <w:t> -Wert der Gleichung</w:t>
      </w:r>
      <w:r w:rsidRPr="00E3068E">
        <w:rPr>
          <w:rFonts w:ascii="Arial" w:hAnsi="Arial"/>
          <w:position w:val="-10"/>
          <w:sz w:val="22"/>
          <w:szCs w:val="22"/>
        </w:rPr>
        <w:object w:dxaOrig="760" w:dyaOrig="320">
          <v:shape id="_x0000_i1048" type="#_x0000_t75" style="width:37.8pt;height:15.7pt" o:ole="">
            <v:imagedata r:id="rId11" o:title=""/>
          </v:shape>
          <o:OLEObject Type="Embed" ProgID="Equation.DSMT4" ShapeID="_x0000_i1048" DrawAspect="Content" ObjectID="_1814854312" r:id="rId12"/>
        </w:object>
      </w:r>
      <w:r w:rsidRPr="00E3068E">
        <w:rPr>
          <w:rFonts w:ascii="Arial" w:hAnsi="Arial"/>
          <w:sz w:val="22"/>
          <w:szCs w:val="22"/>
        </w:rPr>
        <w:t xml:space="preserve">). Wählt man den ersten Weg, so handelt es sich bei der algebraischen Deutung um eine Extension. Ein geometrischer Sachverhalt wird hier mit Inhalten der Algebra verbunden. In der Koordinatengeometrie und im Zusammenhang mit Funktionen ist der Unterschied zwischen Intension und Extension eines Begriffes vermutlich auch deshalb meist schwer zu benennen, da jeder geometrische Inhalt bereits </w:t>
      </w:r>
      <w:proofErr w:type="spellStart"/>
      <w:r w:rsidRPr="00E3068E">
        <w:rPr>
          <w:rFonts w:ascii="Arial" w:hAnsi="Arial"/>
          <w:sz w:val="22"/>
          <w:szCs w:val="22"/>
        </w:rPr>
        <w:t>arithmetisiert</w:t>
      </w:r>
      <w:proofErr w:type="spellEnd"/>
      <w:r w:rsidRPr="00E3068E">
        <w:rPr>
          <w:rFonts w:ascii="Arial" w:hAnsi="Arial"/>
          <w:sz w:val="22"/>
          <w:szCs w:val="22"/>
        </w:rPr>
        <w:t xml:space="preserve"> auftritt. Geometrie in einem Koordinatensystem kann als eine Extension qualitativer Geometrie verstanden werden.</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sz w:val="22"/>
          <w:szCs w:val="22"/>
        </w:rPr>
        <w:t>Ob im Unterricht eher prozeduralem oder konzeptuellem Wissen mehr Raum gegeben, in welchem Verhältnis intensionales und extensionales Begriffsverständnis unterrichtet und welche Bezüge von mathematischen Inhalten (inner- oder außermathematische) stärker betont werden sollen, ist Teil der Planung von Unterrichtsreihen und obliegt somit der Entscheidung der Lehrkraft oder der Fachkonferenz einer Schule. Bis hierhin genügt es jedoch zumindest dieser Differenzierungen gewahr zu werden und beispielsweise eine geplante Unterrichtsreihe dahingehend zu befragen, ob den Schülerinnen und Schülern genügend Gelegenheit gegeben worden ist, um sich zu einem mathematischen Inhalt Wissen der unterschiedlichen Wissensarten anzueignen. Um dies zu illustrieren, werden im Folgenden für den Begriff Nullstelle exemplarisch die einzelnen Wissensarten mit Wissensinhalten gefüllt, ohne dass hier ein Anspruch auf Vollständigkeit gestellt wird.</w:t>
      </w:r>
    </w:p>
    <w:p w:rsidR="00E3068E" w:rsidRPr="00E3068E" w:rsidRDefault="00E3068E" w:rsidP="00E3068E">
      <w:pPr>
        <w:jc w:val="both"/>
        <w:rPr>
          <w:rFonts w:ascii="Arial" w:hAnsi="Arial"/>
          <w:b/>
          <w:sz w:val="22"/>
          <w:szCs w:val="22"/>
        </w:rPr>
      </w:pPr>
    </w:p>
    <w:p w:rsidR="00E3068E" w:rsidRPr="00E3068E" w:rsidRDefault="00E3068E" w:rsidP="00E3068E">
      <w:pPr>
        <w:jc w:val="both"/>
        <w:rPr>
          <w:rFonts w:ascii="Arial" w:hAnsi="Arial"/>
          <w:sz w:val="22"/>
          <w:szCs w:val="22"/>
        </w:rPr>
      </w:pPr>
      <w:r w:rsidRPr="00E3068E">
        <w:rPr>
          <w:rFonts w:ascii="Arial" w:hAnsi="Arial"/>
          <w:b/>
          <w:sz w:val="22"/>
          <w:szCs w:val="22"/>
        </w:rPr>
        <w:t>Prozedurales Wissen:</w:t>
      </w:r>
      <w:r w:rsidRPr="00E3068E">
        <w:rPr>
          <w:rFonts w:ascii="Arial" w:hAnsi="Arial"/>
          <w:sz w:val="22"/>
          <w:szCs w:val="22"/>
        </w:rPr>
        <w:t xml:space="preserve"> Hierunter fallen Fähigkeiten wie das Ablesen oder Einzeichnen einer Nullstelle oder die rechnerische Bestimmung von Nullstellen und damit verbundene Verfahren (Äquivalenzumformung, Ausklammern, quadratische Ergänzung, Substitution usw.). Auch das Beherrschen eines Näherungsverfahrens gehört zum prozeduralem Wissen über Nullstellen. Das Prozedurale Wissen ist darüber hinaus mit dem Einsatz von Technik verbunden. So gehört es ebenso zum prozeduralem Wissen, Nullstellen mithilfe eines Taschenrechners oder eines CAS </w:t>
      </w:r>
      <w:r w:rsidRPr="00E3068E">
        <w:rPr>
          <w:rFonts w:ascii="Arial" w:hAnsi="Arial"/>
          <w:sz w:val="22"/>
          <w:szCs w:val="22"/>
        </w:rPr>
        <w:lastRenderedPageBreak/>
        <w:t>bestimmen zu können. Letztlich setzen alle Darstellungswechsel zwischen Graph, Tabelle und Gleichung prozedurales Wissen voraus.</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b/>
          <w:sz w:val="22"/>
          <w:szCs w:val="22"/>
        </w:rPr>
        <w:t>Intensionales Konzeptwissen:</w:t>
      </w:r>
      <w:r w:rsidRPr="00E3068E">
        <w:rPr>
          <w:rFonts w:ascii="Arial" w:hAnsi="Arial"/>
          <w:sz w:val="22"/>
          <w:szCs w:val="22"/>
        </w:rPr>
        <w:t xml:space="preserve"> Das intensionale Konzeptwissen meint so viel wie die Bedeutung des Begriffs Nullstelle. Geometrisch gedeutet wäre dies der Schnitt zwischen einem Graphen und der x-Achse, wobei „Stelle“ hier nur die x-Koordinate des Punktes meint. Zum intensionalen Konzeptwissen gehören aber auch Unterkonzepte wie z. B. die doppelte Nullstelle als Stelle, an der der Graph die x-Achse berührt.</w:t>
      </w:r>
    </w:p>
    <w:p w:rsidR="00E3068E" w:rsidRPr="00E3068E" w:rsidRDefault="00E3068E" w:rsidP="00E3068E">
      <w:pPr>
        <w:jc w:val="both"/>
        <w:rPr>
          <w:rFonts w:ascii="Arial" w:hAnsi="Arial"/>
          <w:sz w:val="22"/>
          <w:szCs w:val="22"/>
        </w:rPr>
      </w:pPr>
    </w:p>
    <w:p w:rsidR="00E3068E" w:rsidRPr="00E3068E" w:rsidRDefault="00E3068E" w:rsidP="00E3068E">
      <w:pPr>
        <w:jc w:val="both"/>
        <w:rPr>
          <w:rFonts w:ascii="Arial" w:hAnsi="Arial"/>
          <w:sz w:val="22"/>
          <w:szCs w:val="22"/>
        </w:rPr>
      </w:pPr>
      <w:r w:rsidRPr="00E3068E">
        <w:rPr>
          <w:rFonts w:ascii="Arial" w:hAnsi="Arial"/>
          <w:b/>
          <w:sz w:val="22"/>
          <w:szCs w:val="22"/>
        </w:rPr>
        <w:t>Extensionales Konzeptwissen:</w:t>
      </w:r>
      <w:r w:rsidRPr="00E3068E">
        <w:rPr>
          <w:rFonts w:ascii="Arial" w:hAnsi="Arial"/>
          <w:sz w:val="22"/>
          <w:szCs w:val="22"/>
        </w:rPr>
        <w:t xml:space="preserve"> Die Interpretation einer Nullstelle in einem Sachzusammenhang gehört zur außermathematischen Extension der Nullstelle. Ebenso gehört der umgekehrte Weg, eine Nullstelle aus einer gegebenen Situation extrahieren, zur außermathematischen Extension. Eine innermathematische Extension ist die bereits genannte Verknüpfung zum Schnitt zwischen zwei Graphen oder die Suche nach einem x-Wert zu einem vorgegebenen y-Wert. Auch die Verbindungen zu Extrem-, Sattel- und Wendepunkten als Nullstellenproblem der ersten und zweiten Ableitungsfunktion gehören zur innermathematischen Extension des Begriffs. </w:t>
      </w:r>
    </w:p>
    <w:p w:rsidR="00694A63" w:rsidRPr="005B2F65" w:rsidRDefault="00694A63" w:rsidP="00E3068E">
      <w:pPr>
        <w:jc w:val="both"/>
        <w:rPr>
          <w:sz w:val="22"/>
          <w:szCs w:val="22"/>
        </w:rPr>
      </w:pPr>
    </w:p>
    <w:sectPr w:rsidR="00694A63" w:rsidRPr="005B2F65" w:rsidSect="00DB65DC">
      <w:head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1" w:fontKey="{299947D0-31D3-4332-BEE9-FEAF936179AA}"/>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C263924-F5C1-4086-BC41-B89936B3AC66}"/>
    <w:embedBold r:id="rId3" w:fontKey="{32AC8FC3-8870-4DB3-B0DA-328E75ACD90E}"/>
    <w:embedItalic r:id="rId4" w:fontKey="{DBB0354F-205A-44FC-A6BA-32576314477F}"/>
    <w:embedBoldItalic r:id="rId5" w:fontKey="{DB52E315-DB24-46E9-A523-D90E164F8EF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068E" w:rsidRDefault="00E3068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C9A25D9"/>
    <w:multiLevelType w:val="hybridMultilevel"/>
    <w:tmpl w:val="3E8CEE7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4"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3B4C065C"/>
    <w:multiLevelType w:val="hybridMultilevel"/>
    <w:tmpl w:val="84E60D8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4"/>
  </w:num>
  <w:num w:numId="3">
    <w:abstractNumId w:val="0"/>
  </w:num>
  <w:num w:numId="4">
    <w:abstractNumId w:val="13"/>
  </w:num>
  <w:num w:numId="5">
    <w:abstractNumId w:val="8"/>
  </w:num>
  <w:num w:numId="6">
    <w:abstractNumId w:val="11"/>
  </w:num>
  <w:num w:numId="7">
    <w:abstractNumId w:val="5"/>
  </w:num>
  <w:num w:numId="8">
    <w:abstractNumId w:val="2"/>
  </w:num>
  <w:num w:numId="9">
    <w:abstractNumId w:val="7"/>
  </w:num>
  <w:num w:numId="10">
    <w:abstractNumId w:val="9"/>
  </w:num>
  <w:num w:numId="11">
    <w:abstractNumId w:val="3"/>
  </w:num>
  <w:num w:numId="12">
    <w:abstractNumId w:val="6"/>
  </w:num>
  <w:num w:numId="13">
    <w:abstractNumId w:val="1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85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42965"/>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7385A"/>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3068E"/>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54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F2303-411D-4D00-85EA-8EAC32798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1614</Words>
  <Characters>11214</Characters>
  <Application>Microsoft Office Word</Application>
  <DocSecurity>0</DocSecurity>
  <Lines>219</Lines>
  <Paragraphs>92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12736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2025-07-24T07:25:00Z</dcterms:created>
  <dcterms:modified xsi:type="dcterms:W3CDTF">2025-07-24T07:25:00Z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